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911164" cy="732670"/>
            <wp:effectExtent b="0" l="0" r="0" t="0"/>
            <wp:docPr descr="Red de carreras de comunicación social y periodismo" id="1" name="image1.png"/>
            <a:graphic>
              <a:graphicData uri="http://schemas.openxmlformats.org/drawingml/2006/picture">
                <pic:pic>
                  <pic:nvPicPr>
                    <pic:cNvPr descr="Red de carreras de comunicación social y periodism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164" cy="732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ASPECTOS a considerar de los VIDEOS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TITULO: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AUTORES: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ASPECTO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APROBADO / OBSERVACIONES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ENLACE DE YOUTUBE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AUTORIZACIÓN, FIRMADA / DNI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AJUSTE DE PRIVACIDAD COMO OCULTO.</w:t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● UN TÍTULO.</w:t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● AUTORES</w:t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● INTRODUCCIÓN</w:t>
            </w:r>
          </w:p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● OBJETIVOS</w:t>
            </w:r>
          </w:p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● METODOLOGÍA</w:t>
            </w:r>
          </w:p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● RESULTADOS</w:t>
            </w:r>
          </w:p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● CONCLUSIONES / REFLEXIONES</w:t>
            </w:r>
          </w:p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● BIBLIOGRAFÍA</w:t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MAIL DE CONTACTO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472c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4"/>
        <w:szCs w:val="24"/>
        <w:u w:val="none"/>
        <w:shd w:fill="auto" w:val="clear"/>
        <w:vertAlign w:val="baseline"/>
        <w:rtl w:val="0"/>
      </w:rPr>
      <w:t xml:space="preserve">IV JORNADAS DE INVESTIGACIÓN EN TERAPIA OCUPACIONAL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